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国务院关于优化科研管理</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提升科研绩效若干措施的通知</w:t>
      </w:r>
    </w:p>
    <w:p>
      <w:pPr>
        <w:jc w:val="center"/>
        <w:rPr>
          <w:rFonts w:hint="eastAsia" w:ascii="宋体" w:hAnsi="宋体" w:eastAsia="宋体" w:cs="宋体"/>
          <w:color w:val="000000"/>
          <w:sz w:val="32"/>
          <w:szCs w:val="32"/>
        </w:rPr>
      </w:pPr>
      <w:r>
        <w:rPr>
          <w:rFonts w:hint="eastAsia" w:ascii="宋体" w:hAnsi="宋体" w:eastAsia="宋体" w:cs="宋体"/>
          <w:color w:val="000000"/>
          <w:sz w:val="32"/>
          <w:szCs w:val="32"/>
        </w:rPr>
        <w:t>国发〔2018〕25号</w:t>
      </w:r>
    </w:p>
    <w:p>
      <w:pPr>
        <w:rPr>
          <w:rFonts w:hint="eastAsia" w:ascii="仿宋" w:hAnsi="仿宋" w:eastAsia="仿宋" w:cs="仿宋"/>
          <w:color w:val="000000"/>
          <w:sz w:val="32"/>
          <w:szCs w:val="32"/>
        </w:rPr>
      </w:pP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各省、自治区、直辖市人民政府，国务院各部委、各直属机构：</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一、优化科研项目和经费管理</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简化科研项目申报和过程管理。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合并财务验收和技术验收。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三）推行“材料一次报送”制度。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四）赋予科研人员更大技术路线决策权。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五）赋予科研单位科研项目经费管理使用自主权。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六）避免重复多头检查。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二、完善有利于创新的评价激励制度</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七）切实精简人才“帽子”。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八）开展“唯论文、唯职称、唯学历”问题集中清理。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九）加大对承担国家关键领域核心技术攻关任务科研人员的薪酬激励。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三、强化科研项目绩效评价</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推动项目管理从重数量、重过程向重质量、重结果转变。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一）实行科研项目绩效分类评价。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二）严格依据任务书开展综合绩效评价。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三）加强绩效评价结果的应用。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四、完善分级责任担当机制</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四）建立相关部门为高校和科研院所分担责任机制。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五）强化高校、科研院所和科研人员的主体责任。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六）完善鼓励法人担当负责的考核激励机制。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五、开展基于绩效、诚信和能力的科研管理改革试点</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科技部、财政部会同教育部、中科院在教育部直属高校和中科院所属科研院所中选择部分创新能力和潜力突出、创新绩效显著、科研诚信状况良好的单位开展支持力度更大的“绿色通道”改革试点。</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七）开展简化科研项目经费预算编制试点。项目直接费用中除设备费外，其他费用只提供基本测算说明，不提供明细。进一步精简合并其他直接费用科目。各项目管理专业机构要简化相关科研项目预算编制要求，精简说明和报表。</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八）开展扩大科研经费使用自主权试点。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九）开展科研机构分类支持试点。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十）开展赋予科研人员职务科技成果所有权或长期使用权试点。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国务院　　　　　　　</w:t>
      </w:r>
    </w:p>
    <w:p>
      <w:pPr>
        <w:widowControl w:val="0"/>
        <w:wordWrap/>
        <w:adjustRightInd/>
        <w:snapToGrid/>
        <w:spacing w:before="0" w:after="0" w:line="520" w:lineRule="exact"/>
        <w:ind w:left="0" w:leftChars="0" w:right="0" w:firstLine="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2018年7月18日</w:t>
      </w:r>
    </w:p>
    <w:sectPr>
      <w:headerReference r:id="rId4" w:type="default"/>
      <w:footerReference r:id="rId5" w:type="default"/>
      <w:pgSz w:w="11900" w:h="16840"/>
      <w:pgMar w:top="1440" w:right="1220" w:bottom="1440" w:left="13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DengXian">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DengXian" w:hAnsi="DengXian" w:eastAsia="DengXian" w:cs="Times New Roman"/>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DengXian"/>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DengXian" w:hAnsi="DengXian" w:eastAsia="DengXian" w:cs="Times New Roman"/>
      <w:kern w:val="2"/>
      <w:sz w:val="24"/>
      <w:szCs w:val="24"/>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788</Words>
  <Characters>4494</Characters>
  <Lines>37</Lines>
  <Paragraphs>10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2018-09-09T05:49:00Z</dcterms:created>
  <dc:creator>Microsoft Office 用户</dc:creator>
  <cp:lastModifiedBy>未定义</cp:lastModifiedBy>
  <dcterms:modified xsi:type="dcterms:W3CDTF">2019-01-18T09:01:52Z</dcterms:modified>
  <dc:title>国务院关于优化科研管理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