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0"/>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225"/>
        <w:jc w:val="center"/>
        <w:textAlignment w:val="auto"/>
        <w:rPr>
          <w:rStyle w:val="14"/>
          <w:rFonts w:hint="eastAsia" w:ascii="方正小标宋_GBK" w:hAnsi="方正小标宋_GBK" w:eastAsia="方正小标宋_GBK" w:cs="方正小标宋_GBK"/>
          <w:b w:val="0"/>
          <w:sz w:val="44"/>
          <w:szCs w:val="44"/>
        </w:rPr>
      </w:pPr>
      <w:r>
        <w:rPr>
          <w:rStyle w:val="14"/>
          <w:rFonts w:hint="eastAsia" w:ascii="方正小标宋_GBK" w:hAnsi="方正小标宋_GBK" w:eastAsia="方正小标宋_GBK" w:cs="方正小标宋_GBK"/>
          <w:b w:val="0"/>
          <w:sz w:val="44"/>
          <w:szCs w:val="44"/>
          <w:lang w:val="en-US" w:eastAsia="zh-CN"/>
        </w:rPr>
        <w:t>2022年</w:t>
      </w:r>
      <w:r>
        <w:rPr>
          <w:rStyle w:val="14"/>
          <w:rFonts w:hint="eastAsia" w:ascii="方正小标宋_GBK" w:hAnsi="方正小标宋_GBK" w:eastAsia="方正小标宋_GBK" w:cs="方正小标宋_GBK"/>
          <w:b w:val="0"/>
          <w:sz w:val="44"/>
          <w:szCs w:val="44"/>
        </w:rPr>
        <w:t>高新技术企业发展专项</w:t>
      </w:r>
    </w:p>
    <w:p>
      <w:pPr>
        <w:pStyle w:val="10"/>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225"/>
        <w:jc w:val="center"/>
        <w:textAlignment w:val="auto"/>
        <w:rPr>
          <w:rStyle w:val="14"/>
          <w:rFonts w:hint="eastAsia" w:ascii="方正小标宋_GBK" w:hAnsi="方正小标宋_GBK" w:eastAsia="方正小标宋_GBK" w:cs="方正小标宋_GBK"/>
          <w:b w:val="0"/>
          <w:sz w:val="44"/>
          <w:szCs w:val="44"/>
        </w:rPr>
      </w:pPr>
      <w:r>
        <w:rPr>
          <w:rStyle w:val="14"/>
          <w:rFonts w:hint="eastAsia" w:ascii="方正小标宋_GBK" w:hAnsi="方正小标宋_GBK" w:eastAsia="方正小标宋_GBK" w:cs="方正小标宋_GBK"/>
          <w:b w:val="0"/>
          <w:sz w:val="44"/>
          <w:szCs w:val="44"/>
        </w:rPr>
        <w:t>（“琼科贷”风险补偿资金）</w:t>
      </w:r>
    </w:p>
    <w:p>
      <w:pPr>
        <w:pStyle w:val="10"/>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225"/>
        <w:jc w:val="center"/>
        <w:textAlignment w:val="auto"/>
        <w:rPr>
          <w:rFonts w:hint="eastAsia" w:ascii="宋体" w:hAnsi="宋体" w:eastAsia="宋体" w:cs="宋体"/>
          <w:kern w:val="0"/>
          <w:sz w:val="24"/>
          <w:szCs w:val="24"/>
        </w:rPr>
      </w:pPr>
      <w:r>
        <w:rPr>
          <w:rStyle w:val="14"/>
          <w:rFonts w:hint="eastAsia" w:ascii="方正小标宋_GBK" w:hAnsi="方正小标宋_GBK" w:eastAsia="方正小标宋_GBK" w:cs="方正小标宋_GBK"/>
          <w:b w:val="0"/>
          <w:sz w:val="44"/>
          <w:szCs w:val="44"/>
        </w:rPr>
        <w:t xml:space="preserve">项目支出绩效自评报告 </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黑体" w:hAnsi="宋体" w:eastAsia="黑体" w:cs="黑体"/>
          <w:kern w:val="0"/>
          <w:sz w:val="32"/>
          <w:szCs w:val="32"/>
        </w:rPr>
      </w:pP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bookmarkStart w:id="0" w:name="_GoBack"/>
      <w:bookmarkEnd w:id="0"/>
      <w:r>
        <w:rPr>
          <w:rFonts w:hint="eastAsia" w:ascii="黑体" w:hAnsi="宋体" w:eastAsia="黑体" w:cs="黑体"/>
          <w:kern w:val="0"/>
          <w:sz w:val="32"/>
          <w:szCs w:val="32"/>
        </w:rPr>
        <w:t xml:space="preserve">一、项目概况    </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rPr>
        <w:t>（一）项目基本情况</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仿宋_GB2312" w:hAnsi="宋体" w:eastAsia="仿宋_GB2312" w:cs="仿宋_GB2312"/>
          <w:kern w:val="0"/>
          <w:sz w:val="32"/>
          <w:szCs w:val="32"/>
        </w:rPr>
        <w:t>主管部门为省科学技术厅</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仿宋_GB2312" w:hAnsi="宋体" w:eastAsia="仿宋_GB2312" w:cs="仿宋_GB2312"/>
          <w:kern w:val="0"/>
          <w:sz w:val="32"/>
          <w:szCs w:val="32"/>
        </w:rPr>
        <w:t>项目负责人为：张跃华</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仿宋_GB2312" w:hAnsi="宋体" w:eastAsia="仿宋_GB2312" w:cs="仿宋_GB2312"/>
          <w:kern w:val="0"/>
          <w:sz w:val="32"/>
          <w:szCs w:val="32"/>
        </w:rPr>
        <w:t>联系电话：65329040</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仿宋_GB2312" w:hAnsi="宋体" w:eastAsia="仿宋_GB2312" w:cs="仿宋_GB2312"/>
          <w:kern w:val="0"/>
          <w:sz w:val="32"/>
          <w:szCs w:val="32"/>
        </w:rPr>
        <w:t xml:space="preserve">项目概述如下：高新技术企业发展专项包括高新技术企业培育、园区科技创新、创新创业平台和科技金融等。高新技术企业培育主要用于加大高新技术企业扶持力度、建立科技型领军企业、高新技术企业、科技型中小企业梯次培育机制，引导科技型领军企业、高新技术企业、高新技术企业库企业、科技型中小企业加大研发投入，带动高新技术企业、科技型中小企业协同创新发展。充分发挥财政资金引导作用，引导全社会加大R&amp;D投入。 </w:t>
      </w:r>
      <w:r>
        <w:rPr>
          <w:rFonts w:hint="eastAsia" w:ascii="宋体" w:hAnsi="宋体" w:eastAsia="宋体" w:cs="宋体"/>
          <w:kern w:val="0"/>
          <w:sz w:val="32"/>
          <w:szCs w:val="32"/>
        </w:rPr>
        <w:t xml:space="preserve">  </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rPr>
        <w:t xml:space="preserve">（二）项目年度预算绩效目标和绩效指标设定情况  </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仿宋_GB2312" w:hAnsi="宋体" w:eastAsia="仿宋_GB2312" w:cs="仿宋_GB2312"/>
          <w:kern w:val="0"/>
          <w:sz w:val="32"/>
          <w:szCs w:val="32"/>
        </w:rPr>
        <w:t>总体目标：加大扶持高新技术企业，建立科技型领军企业、高新技术企业、科技型中小企业梯次培育机制。</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仿宋_GB2312" w:hAnsi="宋体" w:eastAsia="仿宋_GB2312" w:cs="仿宋_GB2312"/>
          <w:kern w:val="0"/>
          <w:sz w:val="32"/>
          <w:szCs w:val="32"/>
        </w:rPr>
        <w:t>2022年年度目标是加大扶持高新技术企业，建立科技型领军企业、高新技术企业、科技型中小企业梯次培育机制。</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textAlignment w:val="auto"/>
        <w:rPr>
          <w:rFonts w:hint="eastAsia" w:ascii="宋体" w:hAnsi="宋体" w:eastAsia="仿宋_GB2312" w:cs="宋体"/>
          <w:kern w:val="0"/>
          <w:sz w:val="32"/>
          <w:szCs w:val="32"/>
        </w:rPr>
      </w:pPr>
      <w:r>
        <w:rPr>
          <w:rFonts w:hint="eastAsia" w:ascii="仿宋_GB2312" w:eastAsia="仿宋_GB2312" w:cs="仿宋_GB2312"/>
          <w:kern w:val="0"/>
          <w:sz w:val="32"/>
          <w:szCs w:val="32"/>
          <w:lang w:eastAsia="zh-CN"/>
        </w:rPr>
        <w:t>　　</w:t>
      </w:r>
      <w:r>
        <w:rPr>
          <w:rFonts w:hint="eastAsia" w:ascii="仿宋_GB2312" w:hAnsi="宋体" w:eastAsia="仿宋_GB2312" w:cs="仿宋_GB2312"/>
          <w:kern w:val="0"/>
          <w:sz w:val="32"/>
          <w:szCs w:val="32"/>
        </w:rPr>
        <w:t>当年年度目标完成情况：第二批科技信贷风险补偿金下达以来，已推动4家合作银行面向12家高企提供低利率（3.65%）贷款投放，投放额度5291万元，促进了高新技术企业在不同阶段的融资需求，加大了对高企</w:t>
      </w:r>
      <w:r>
        <w:rPr>
          <w:rFonts w:hint="eastAsia" w:ascii="仿宋_GB2312" w:eastAsia="仿宋_GB2312" w:cs="仿宋_GB2312"/>
          <w:kern w:val="0"/>
          <w:sz w:val="32"/>
          <w:szCs w:val="32"/>
          <w:lang w:eastAsia="zh-CN"/>
        </w:rPr>
        <w:t>科技</w:t>
      </w:r>
      <w:r>
        <w:rPr>
          <w:rFonts w:hint="eastAsia" w:ascii="仿宋_GB2312" w:hAnsi="宋体" w:eastAsia="仿宋_GB2312" w:cs="仿宋_GB2312"/>
          <w:kern w:val="0"/>
          <w:sz w:val="32"/>
          <w:szCs w:val="32"/>
        </w:rPr>
        <w:t>金融支持力度。</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黑体" w:hAnsi="宋体" w:eastAsia="黑体" w:cs="黑体"/>
          <w:kern w:val="0"/>
          <w:sz w:val="32"/>
          <w:szCs w:val="32"/>
        </w:rPr>
        <w:t>二、项目决策及资金使用管理情况</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仿宋_GB2312" w:eastAsia="仿宋_GB2312" w:cs="仿宋_GB2312"/>
          <w:kern w:val="0"/>
          <w:sz w:val="32"/>
          <w:szCs w:val="32"/>
        </w:rPr>
      </w:pPr>
      <w:r>
        <w:rPr>
          <w:rFonts w:hint="eastAsia" w:ascii="楷体_GB2312" w:eastAsia="楷体_GB2312" w:cs="楷体_GB2312"/>
          <w:kern w:val="0"/>
          <w:sz w:val="32"/>
          <w:szCs w:val="32"/>
        </w:rPr>
        <w:t>（一）项目决策情况</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jc w:val="left"/>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w:t>
      </w:r>
      <w:r>
        <w:rPr>
          <w:rFonts w:hint="eastAsia" w:ascii="仿宋_GB2312" w:eastAsia="仿宋_GB2312" w:cs="仿宋_GB2312"/>
          <w:kern w:val="0"/>
          <w:sz w:val="32"/>
          <w:szCs w:val="32"/>
          <w:lang w:eastAsia="zh-CN"/>
        </w:rPr>
        <w:t>　</w:t>
      </w:r>
      <w:r>
        <w:rPr>
          <w:rFonts w:hint="eastAsia" w:ascii="仿宋_GB2312" w:eastAsia="仿宋_GB2312" w:cs="仿宋_GB2312"/>
          <w:kern w:val="0"/>
          <w:sz w:val="32"/>
          <w:szCs w:val="32"/>
        </w:rPr>
        <w:t>根据《海南省人民政府办公厅关于印发&lt;海南省统筹疫情防控和经济恢复提振行动方案&gt;和&lt;海南省稳经济助企纾困发展特别措施(2.0版)&gt;的通知》提出的“对高新技术企业再增加1亿元贷款额度支持。财政适时追加1000万元扩大‘琼科贷’风险补偿资金池规模，撬动新增1亿元银行贷款额度支持高新技术企业”的政策措施，我厅于2022年9月29日向省财政厅发《关于核拨科技信贷风险补偿资金的函》，申请第二批科技信贷风险补偿金1000万元，用于撬动“琼科贷”业务扩面增量。</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rPr>
        <w:t>（二）项目资金（包括财政资金、自筹资金等）安排落实、总投入等情况</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预算情况如下：</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165"/>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资金总额-年初预算数10000000元，资金总额-全年预算数10000000元，</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165"/>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财政资金-年初预算数10000000元,财政资金-全年预算数10000000元，</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165"/>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专户-年初预算数0元，专户全年预算数0元，</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165"/>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单位年初预算数0元，单位全年预算数0元。</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rPr>
        <w:t>（三）项目资金（主要是指财政资金）实际使用情况</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资金执行情况如下：</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资金总额-全年执行数10000000元，资金总额-执行率100.00%元</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165"/>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其中：</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165"/>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财政资金-全年执行数10000000元，财政资金-执行率100.00%</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165"/>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专户全年执行数0元，专户-执行率0</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165"/>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单位全年执行数0元，单位全年执行率0.00%</w:t>
      </w:r>
    </w:p>
    <w:p>
      <w:pPr>
        <w:pStyle w:val="10"/>
        <w:keepNext w:val="0"/>
        <w:keepLines w:val="0"/>
        <w:pageBreakBefore w:val="0"/>
        <w:widowControl/>
        <w:numPr>
          <w:ilvl w:val="0"/>
          <w:numId w:val="1"/>
        </w:numPr>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rPr>
        <w:t>项目资金管理情况</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right="0" w:rightChars="0"/>
        <w:textAlignment w:val="auto"/>
        <w:rPr>
          <w:rFonts w:hint="eastAsia" w:ascii="仿宋_GB2312" w:hAnsi="宋体" w:eastAsia="仿宋_GB2312" w:cs="仿宋_GB2312"/>
          <w:kern w:val="0"/>
          <w:sz w:val="32"/>
          <w:szCs w:val="32"/>
        </w:rPr>
      </w:pPr>
      <w:r>
        <w:rPr>
          <w:rFonts w:hint="eastAsia" w:ascii="仿宋_GB2312" w:eastAsia="仿宋_GB2312" w:cs="仿宋_GB2312"/>
          <w:kern w:val="0"/>
          <w:sz w:val="32"/>
          <w:szCs w:val="32"/>
          <w:lang w:eastAsia="zh-CN"/>
        </w:rPr>
        <w:t>　　</w:t>
      </w:r>
      <w:r>
        <w:rPr>
          <w:rFonts w:hint="eastAsia" w:ascii="仿宋_GB2312" w:eastAsia="仿宋_GB2312" w:cs="仿宋_GB2312"/>
          <w:kern w:val="0"/>
          <w:sz w:val="32"/>
          <w:szCs w:val="32"/>
        </w:rPr>
        <w:t>根据《海南省科技信贷风险补偿金管理暂行办法》有关要求，我厅委托海南省融资担保基金有限责任公司作为科技信贷风险补偿金的资金管理机构，履行风险补偿金日常管理工作，截至目前，未出现因出现不良贷款而产生风险补偿问题。</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黑体" w:hAnsi="宋体" w:eastAsia="黑体" w:cs="黑体"/>
          <w:kern w:val="0"/>
          <w:sz w:val="32"/>
          <w:szCs w:val="32"/>
        </w:rPr>
        <w:t>三、项目组织实施情况</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仿宋_GB2312" w:hAnsi="宋体" w:eastAsia="仿宋_GB2312" w:cs="仿宋_GB2312"/>
          <w:kern w:val="0"/>
          <w:sz w:val="32"/>
          <w:szCs w:val="32"/>
        </w:rPr>
      </w:pPr>
      <w:r>
        <w:rPr>
          <w:rFonts w:hint="eastAsia" w:ascii="楷体_GB2312" w:eastAsia="楷体_GB2312" w:cs="楷体_GB2312"/>
          <w:kern w:val="0"/>
          <w:sz w:val="32"/>
          <w:szCs w:val="32"/>
        </w:rPr>
        <w:t>（一）项目组织情况</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jc w:val="left"/>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根据《海南省人民政府办公厅关于印发&lt;海南省统筹疫情防控和经济恢复提振行动方案&gt;和&lt;海南省稳经济助企纾困发展特别措施(2.0版)&gt;的通知》提出的“对高新技术企业再增加1亿元贷款额度支持。财政适时追加1000万元扩大‘琼科贷’风险补偿资金池规模，撬动新增1亿元银行贷款额度支持高新技术企业”的政策措施，我厅根据《海南省科学技术厅海南省财政厅关于印发&lt;海南省科技信贷风险补偿管理暂行办法&gt;的通知》（琼科规〔2020〕14号）相关规定，遴选中国建设银行海南省分行、中国农业银行海南省分行、海南银行等３家银行作为此批次“琼科贷”业务合作银行。后续，我厅按程序推进同海南省融担保公司签订了第二批风险补偿金委托协议，会同海南省融担保公司分别同３家合作银行签订三方合作协议，并按审定的第二批科技信贷风险补偿金资金分存方案分存到对应银行开设的专款账户，开启推动３家新的合作银行面向高企开展融资业务。截至2023年4月，第二批风险补偿金下达以来，第一、第二批4家合作银行已累计面向高新技术企业投放贷款</w:t>
      </w:r>
      <w:r>
        <w:rPr>
          <w:rFonts w:hint="eastAsia" w:ascii="仿宋_GB2312" w:hAnsi="宋体" w:eastAsia="仿宋_GB2312" w:cs="仿宋_GB2312"/>
          <w:kern w:val="0"/>
          <w:sz w:val="32"/>
          <w:szCs w:val="32"/>
        </w:rPr>
        <w:t>5291万元</w:t>
      </w:r>
      <w:r>
        <w:rPr>
          <w:rFonts w:hint="eastAsia" w:ascii="仿宋_GB2312" w:eastAsia="仿宋_GB2312" w:cs="仿宋_GB2312"/>
          <w:kern w:val="0"/>
          <w:sz w:val="32"/>
          <w:szCs w:val="32"/>
        </w:rPr>
        <w:t>。</w:t>
      </w:r>
    </w:p>
    <w:p>
      <w:pPr>
        <w:pStyle w:val="10"/>
        <w:keepNext w:val="0"/>
        <w:keepLines w:val="0"/>
        <w:pageBreakBefore w:val="0"/>
        <w:widowControl/>
        <w:numPr>
          <w:ilvl w:val="0"/>
          <w:numId w:val="0"/>
        </w:numPr>
        <w:suppressLineNumbers w:val="0"/>
        <w:kinsoku/>
        <w:wordWrap/>
        <w:overflowPunct/>
        <w:topLinePunct w:val="0"/>
        <w:autoSpaceDE w:val="0"/>
        <w:autoSpaceDN/>
        <w:bidi w:val="0"/>
        <w:adjustRightInd/>
        <w:snapToGrid/>
        <w:spacing w:beforeAutospacing="0" w:afterAutospacing="0" w:line="560" w:lineRule="exact"/>
        <w:ind w:left="645" w:leftChars="0" w:right="0" w:rightChars="0"/>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lang w:eastAsia="zh-CN"/>
        </w:rPr>
        <w:t>（二）</w:t>
      </w:r>
      <w:r>
        <w:rPr>
          <w:rFonts w:hint="eastAsia" w:ascii="楷体_GB2312" w:eastAsia="楷体_GB2312" w:cs="楷体_GB2312"/>
          <w:kern w:val="0"/>
          <w:sz w:val="32"/>
          <w:szCs w:val="32"/>
        </w:rPr>
        <w:t>项目管理情况</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right="0" w:rightChars="0"/>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根据《海南省科技信贷风险补偿金管理暂行办法》有关要求，我厅委托海南省融资担保基金有限责任公司作为科技信贷风险补偿金的资金管理机构，其履行设立专款账户和管理风险补偿金、抽查“琼科贷”备案业务、对接科技企业融资需求和着力拓展“琼科贷”业务覆盖面等方面职能。</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黑体" w:hAnsi="宋体" w:eastAsia="黑体" w:cs="黑体"/>
          <w:kern w:val="0"/>
          <w:sz w:val="32"/>
          <w:szCs w:val="32"/>
        </w:rPr>
        <w:t>四、项目绩效情况</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仿宋_GB2312" w:hAnsi="宋体" w:eastAsia="仿宋_GB2312" w:cs="仿宋_GB2312"/>
          <w:kern w:val="0"/>
          <w:sz w:val="32"/>
          <w:szCs w:val="32"/>
        </w:rPr>
        <w:t>（一）项目绩效目标完成情况。将项目实际完成情况与申报的绩效目标对比，从项目的经济性、效率性、有效性和可持续性等方面对项目绩效进行量化、具体分析。</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仿宋_GB2312" w:hAnsi="宋体" w:eastAsia="仿宋_GB2312" w:cs="仿宋_GB2312"/>
          <w:kern w:val="0"/>
          <w:sz w:val="32"/>
          <w:szCs w:val="32"/>
        </w:rPr>
        <w:t>其中：利用第二批科技信贷风险补偿金1000万元，撬动合作放大10倍于风险补偿金</w:t>
      </w:r>
      <w:r>
        <w:rPr>
          <w:rFonts w:hint="eastAsia" w:ascii="仿宋_GB2312" w:eastAsia="仿宋_GB2312" w:cs="仿宋_GB2312"/>
          <w:kern w:val="0"/>
          <w:sz w:val="32"/>
          <w:szCs w:val="32"/>
          <w:lang w:eastAsia="zh-CN"/>
        </w:rPr>
        <w:t>即</w:t>
      </w:r>
      <w:r>
        <w:rPr>
          <w:rFonts w:hint="default" w:ascii="仿宋_GB2312" w:eastAsia="仿宋_GB2312" w:cs="仿宋_GB2312"/>
          <w:kern w:val="0"/>
          <w:sz w:val="32"/>
          <w:szCs w:val="32"/>
          <w:lang w:val="en" w:eastAsia="zh-CN"/>
        </w:rPr>
        <w:t>1</w:t>
      </w:r>
      <w:r>
        <w:rPr>
          <w:rFonts w:hint="eastAsia" w:ascii="仿宋_GB2312" w:eastAsia="仿宋_GB2312" w:cs="仿宋_GB2312"/>
          <w:kern w:val="0"/>
          <w:sz w:val="32"/>
          <w:szCs w:val="32"/>
          <w:lang w:val="en" w:eastAsia="zh-CN"/>
        </w:rPr>
        <w:t>亿元</w:t>
      </w:r>
      <w:r>
        <w:rPr>
          <w:rFonts w:hint="eastAsia" w:ascii="仿宋_GB2312" w:eastAsia="仿宋_GB2312" w:cs="仿宋_GB2312"/>
          <w:kern w:val="0"/>
          <w:sz w:val="32"/>
          <w:szCs w:val="32"/>
          <w:lang w:eastAsia="zh-CN"/>
        </w:rPr>
        <w:t>的贷款额度，推动合作银行根据高企不同阶段的融资需求，向高企提供低利率</w:t>
      </w:r>
      <w:r>
        <w:rPr>
          <w:rFonts w:hint="eastAsia" w:ascii="仿宋_GB2312" w:hAnsi="仿宋_GB2312" w:eastAsia="仿宋_GB2312" w:cs="仿宋_GB2312"/>
          <w:kern w:val="0"/>
          <w:sz w:val="32"/>
          <w:szCs w:val="32"/>
          <w:lang w:eastAsia="zh-CN"/>
        </w:rPr>
        <w:t>、</w:t>
      </w:r>
      <w:r>
        <w:rPr>
          <w:rFonts w:hint="eastAsia" w:ascii="仿宋_GB2312" w:eastAsia="仿宋_GB2312" w:cs="仿宋_GB2312"/>
          <w:kern w:val="0"/>
          <w:sz w:val="32"/>
          <w:szCs w:val="32"/>
          <w:lang w:eastAsia="zh-CN"/>
        </w:rPr>
        <w:t>低成本和低门槛的贷款融资</w:t>
      </w:r>
      <w:r>
        <w:rPr>
          <w:rFonts w:hint="eastAsia" w:ascii="仿宋_GB2312" w:hAnsi="仿宋_GB2312" w:eastAsia="仿宋_GB2312" w:cs="仿宋_GB2312"/>
          <w:kern w:val="0"/>
          <w:sz w:val="32"/>
          <w:szCs w:val="32"/>
          <w:lang w:eastAsia="zh-CN"/>
        </w:rPr>
        <w:t>。通过专业</w:t>
      </w:r>
      <w:r>
        <w:rPr>
          <w:rFonts w:hint="eastAsia" w:ascii="仿宋_GB2312" w:eastAsia="仿宋_GB2312" w:cs="仿宋_GB2312"/>
          <w:kern w:val="0"/>
          <w:sz w:val="32"/>
          <w:szCs w:val="32"/>
        </w:rPr>
        <w:t>资金管理机构</w:t>
      </w:r>
      <w:r>
        <w:rPr>
          <w:rFonts w:hint="eastAsia" w:ascii="仿宋_GB2312" w:eastAsia="仿宋_GB2312" w:cs="仿宋_GB2312"/>
          <w:kern w:val="0"/>
          <w:sz w:val="32"/>
          <w:szCs w:val="32"/>
          <w:lang w:eastAsia="zh-CN"/>
        </w:rPr>
        <w:t>设立专户，加强对　　</w:t>
      </w:r>
      <w:r>
        <w:rPr>
          <w:rFonts w:hint="eastAsia" w:ascii="仿宋_GB2312" w:eastAsia="仿宋_GB2312" w:cs="仿宋_GB2312"/>
          <w:kern w:val="0"/>
          <w:sz w:val="32"/>
          <w:szCs w:val="32"/>
        </w:rPr>
        <w:t>风险补偿金管理</w:t>
      </w:r>
      <w:r>
        <w:rPr>
          <w:rFonts w:hint="eastAsia" w:ascii="仿宋_GB2312" w:eastAsia="仿宋_GB2312" w:cs="仿宋_GB2312"/>
          <w:kern w:val="0"/>
          <w:sz w:val="32"/>
          <w:szCs w:val="32"/>
          <w:lang w:eastAsia="zh-CN"/>
        </w:rPr>
        <w:t>及</w:t>
      </w:r>
      <w:r>
        <w:rPr>
          <w:rFonts w:hint="eastAsia" w:ascii="仿宋_GB2312" w:eastAsia="仿宋_GB2312" w:cs="仿宋_GB2312"/>
          <w:kern w:val="0"/>
          <w:sz w:val="32"/>
          <w:szCs w:val="32"/>
        </w:rPr>
        <w:t>抽查“琼科贷”备案业务</w:t>
      </w:r>
      <w:r>
        <w:rPr>
          <w:rFonts w:hint="eastAsia" w:ascii="仿宋_GB2312" w:eastAsia="仿宋_GB2312" w:cs="仿宋_GB2312"/>
          <w:kern w:val="0"/>
          <w:sz w:val="32"/>
          <w:szCs w:val="32"/>
          <w:lang w:eastAsia="zh-CN"/>
        </w:rPr>
        <w:t>，确保最低限度降低琼科贷出现不良贷款</w:t>
      </w:r>
      <w:r>
        <w:rPr>
          <w:rFonts w:hint="eastAsia" w:ascii="仿宋_GB2312" w:hAnsi="宋体" w:eastAsia="仿宋_GB2312" w:cs="仿宋_GB2312"/>
          <w:kern w:val="0"/>
          <w:sz w:val="32"/>
          <w:szCs w:val="32"/>
        </w:rPr>
        <w:t>。</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645" w:leftChars="0" w:right="0" w:rightChars="0"/>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rPr>
        <w:t>（二）项目绩效目标未完成情况及原因分析</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仿宋_GB2312" w:hAnsi="仿宋_GB2312" w:eastAsia="仿宋_GB2312" w:cs="仿宋_GB2312"/>
          <w:kern w:val="0"/>
          <w:sz w:val="32"/>
          <w:szCs w:val="32"/>
          <w:lang w:val="en" w:eastAsia="zh-CN"/>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eastAsia="zh-CN"/>
        </w:rPr>
        <w:t>第二批科技信贷风险补偿金下达时间于</w:t>
      </w:r>
      <w:r>
        <w:rPr>
          <w:rFonts w:hint="eastAsia" w:ascii="仿宋_GB2312" w:hAnsi="仿宋_GB2312" w:eastAsia="仿宋_GB2312" w:cs="仿宋_GB2312"/>
          <w:kern w:val="0"/>
          <w:sz w:val="32"/>
          <w:szCs w:val="32"/>
          <w:lang w:val="en" w:eastAsia="zh-CN"/>
        </w:rPr>
        <w:t>2022年底下达</w:t>
      </w:r>
      <w:r>
        <w:rPr>
          <w:rFonts w:hint="eastAsia" w:ascii="仿宋_GB2312" w:hAnsi="仿宋_GB2312" w:eastAsia="仿宋_GB2312" w:cs="仿宋_GB2312"/>
          <w:kern w:val="0"/>
          <w:sz w:val="32"/>
          <w:szCs w:val="32"/>
          <w:lang w:eastAsia="zh-CN"/>
        </w:rPr>
        <w:t>，合作银行发放贷款有一定的审批流程，同时贷款需结合高企不同阶段的融资需求进行</w:t>
      </w:r>
      <w:r>
        <w:rPr>
          <w:rFonts w:hint="eastAsia" w:ascii="仿宋_GB2312" w:hAnsi="仿宋_GB2312" w:eastAsia="仿宋_GB2312" w:cs="仿宋_GB2312"/>
          <w:kern w:val="0"/>
          <w:sz w:val="32"/>
          <w:szCs w:val="32"/>
        </w:rPr>
        <w:t>。</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eastAsia" w:ascii="宋体" w:hAnsi="宋体" w:eastAsia="宋体" w:cs="宋体"/>
          <w:kern w:val="0"/>
          <w:sz w:val="32"/>
          <w:szCs w:val="32"/>
        </w:rPr>
      </w:pPr>
      <w:r>
        <w:rPr>
          <w:rFonts w:hint="eastAsia" w:ascii="黑体" w:hAnsi="宋体" w:eastAsia="黑体" w:cs="黑体"/>
          <w:kern w:val="0"/>
          <w:sz w:val="32"/>
          <w:szCs w:val="32"/>
        </w:rPr>
        <w:t>五、其他需要说明的问题</w:t>
      </w:r>
    </w:p>
    <w:p>
      <w:pPr>
        <w:pStyle w:val="10"/>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5"/>
        <w:textAlignment w:val="auto"/>
        <w:rPr>
          <w:rFonts w:hint="default" w:ascii="仿宋_GB2312" w:eastAsia="仿宋_GB2312" w:cs="仿宋_GB2312"/>
          <w:kern w:val="0"/>
          <w:sz w:val="32"/>
          <w:szCs w:val="32"/>
          <w:lang w:val="en" w:eastAsia="zh-CN"/>
        </w:rPr>
      </w:pPr>
      <w:r>
        <w:rPr>
          <w:rFonts w:hint="eastAsia" w:ascii="仿宋_GB2312" w:eastAsia="仿宋_GB2312" w:cs="仿宋_GB2312"/>
          <w:kern w:val="0"/>
          <w:sz w:val="32"/>
          <w:szCs w:val="32"/>
          <w:lang w:eastAsia="zh-CN"/>
        </w:rPr>
        <w:t>继续推动</w:t>
      </w:r>
      <w:r>
        <w:rPr>
          <w:rFonts w:hint="default" w:ascii="仿宋_GB2312" w:eastAsia="仿宋_GB2312" w:cs="仿宋_GB2312"/>
          <w:kern w:val="0"/>
          <w:sz w:val="32"/>
          <w:szCs w:val="32"/>
          <w:lang w:val="en" w:eastAsia="zh-CN"/>
        </w:rPr>
        <w:t>4</w:t>
      </w:r>
      <w:r>
        <w:rPr>
          <w:rFonts w:hint="eastAsia" w:ascii="仿宋_GB2312" w:eastAsia="仿宋_GB2312" w:cs="仿宋_GB2312"/>
          <w:kern w:val="0"/>
          <w:sz w:val="32"/>
          <w:szCs w:val="32"/>
          <w:lang w:val="en" w:eastAsia="zh-CN"/>
        </w:rPr>
        <w:t>家合作银行加大对高企贷款投放力度</w:t>
      </w:r>
      <w:r>
        <w:rPr>
          <w:rFonts w:hint="eastAsia" w:ascii="仿宋_GB2312" w:hAnsi="宋体" w:eastAsia="仿宋_GB2312" w:cs="仿宋_GB2312"/>
          <w:kern w:val="0"/>
          <w:sz w:val="32"/>
          <w:szCs w:val="32"/>
        </w:rPr>
        <w:t>。</w:t>
      </w:r>
    </w:p>
    <w:p>
      <w:pPr>
        <w:pStyle w:val="10"/>
        <w:keepNext w:val="0"/>
        <w:keepLines w:val="0"/>
        <w:pageBreakBefore w:val="0"/>
        <w:widowControl/>
        <w:suppressLineNumbers w:val="0"/>
        <w:kinsoku/>
        <w:wordWrap/>
        <w:overflowPunct/>
        <w:topLinePunct w:val="0"/>
        <w:autoSpaceDN/>
        <w:bidi w:val="0"/>
        <w:adjustRightInd/>
        <w:snapToGrid/>
        <w:spacing w:beforeAutospacing="0" w:afterAutospacing="0" w:line="560" w:lineRule="exact"/>
        <w:textAlignment w:val="auto"/>
        <w:rPr>
          <w:rFonts w:hint="eastAsia" w:ascii="宋体" w:hAnsi="宋体" w:eastAsia="宋体" w:cs="宋体"/>
          <w:kern w:val="0"/>
          <w:sz w:val="32"/>
          <w:szCs w:val="32"/>
        </w:rPr>
      </w:pPr>
      <w:r>
        <w:rPr>
          <w:rFonts w:hint="eastAsia" w:ascii="宋体" w:hAnsi="宋体" w:eastAsia="宋体" w:cs="宋体"/>
          <w:kern w:val="0"/>
          <w:sz w:val="32"/>
          <w:szCs w:val="32"/>
        </w:rPr>
        <w:t xml:space="preserve"> </w:t>
      </w:r>
    </w:p>
    <w:sectPr>
      <w:pgSz w:w="11906" w:h="16839"/>
      <w:pgMar w:top="2098" w:right="1474" w:bottom="1984" w:left="1587"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BECD0C"/>
    <w:multiLevelType w:val="multilevel"/>
    <w:tmpl w:val="AFBECD0C"/>
    <w:lvl w:ilvl="0" w:tentative="0">
      <w:start w:val="4"/>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7"/>
  <w:displayHorizontalDrawingGridEvery w:val="0"/>
  <w:displayVerticalDrawingGridEvery w:val="2"/>
  <w:noPunctuationKerning w:val="true"/>
  <w:characterSpacingControl w:val="doNotCompress"/>
  <w:compat>
    <w:doNotExpandShiftReturn/>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75B873"/>
    <w:rsid w:val="6E5D8D41"/>
    <w:rsid w:val="7A3B7C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unhideWhenUsed/>
    <w:qFormat/>
    <w:uiPriority w:val="99"/>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2"/>
    <w:basedOn w:val="1"/>
    <w:next w:val="1"/>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5">
    <w:name w:val="heading 3"/>
    <w:basedOn w:val="1"/>
    <w:next w:val="1"/>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6">
    <w:name w:val="heading 4"/>
    <w:basedOn w:val="1"/>
    <w:next w:val="1"/>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7">
    <w:name w:val="heading 5"/>
    <w:basedOn w:val="1"/>
    <w:next w:val="1"/>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8">
    <w:name w:val="heading 6"/>
    <w:basedOn w:val="1"/>
    <w:next w:val="1"/>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2">
    <w:name w:val="Default Paragraph Font"/>
    <w:semiHidden/>
    <w:unhideWhenUsed/>
    <w:qFormat/>
    <w:uiPriority w:val="99"/>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Salutation"/>
    <w:basedOn w:val="1"/>
    <w:next w:val="1"/>
    <w:qFormat/>
    <w:uiPriority w:val="0"/>
    <w:pPr>
      <w:spacing w:before="0" w:beforeAutospacing="0" w:after="0" w:afterAutospacing="0"/>
      <w:ind w:left="0" w:right="0"/>
      <w:jc w:val="left"/>
      <w:textAlignment w:val="baseline"/>
    </w:pPr>
    <w:rPr>
      <w:rFonts w:hint="default" w:ascii="Times New Roman" w:hAnsi="Times New Roman" w:eastAsia="宋体" w:cs="Times New Roman"/>
      <w:kern w:val="0"/>
      <w:sz w:val="24"/>
      <w:szCs w:val="24"/>
      <w:lang w:val="en-US" w:eastAsia="zh-CN" w:bidi="ar"/>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3">
    <w:name w:val="10"/>
    <w:basedOn w:val="12"/>
    <w:qFormat/>
    <w:uiPriority w:val="0"/>
    <w:rPr>
      <w:rFonts w:hint="default" w:ascii="Times New Roman" w:hAnsi="Times New Roman" w:cs="Times New Roman"/>
    </w:rPr>
  </w:style>
  <w:style w:type="character" w:customStyle="1" w:styleId="14">
    <w:name w:val="15"/>
    <w:basedOn w:val="12"/>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Lines>1</Lines>
  <Paragraphs>1</Paragraphs>
  <TotalTime>7</TotalTime>
  <ScaleCrop>false</ScaleCrop>
  <LinksUpToDate>false</LinksUpToDate>
  <Application>WPS Office_11.8.2.10587_F1E327BC-269C-435d-A152-05C5408002CA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2023-04-26T10:19:00Z</dcterms:created>
  <dc:creator>greatwall</dc:creator>
  <cp:lastModifiedBy>greatwall</cp:lastModifiedBy>
  <dcterms:modified xsi:type="dcterms:W3CDTF">2023-04-26T09:48:31Z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