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海南省科学技术厅关于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印发《海南省农业科技特派员管理办法》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琼科规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 xml:space="preserve">号 </w:t>
      </w:r>
      <w:bookmarkStart w:id="0" w:name="正文"/>
    </w:p>
    <w:bookmarkEnd w:id="0"/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县科技管理部门，有关单位：</w:t>
      </w:r>
    </w:p>
    <w:p>
      <w:pPr>
        <w:widowControl/>
        <w:ind w:firstLine="0" w:firstLineChars="0"/>
        <w:jc w:val="left"/>
        <w:rPr>
          <w:rFonts w:hint="eastAsia"/>
        </w:rPr>
      </w:pP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为进一步加强和规范科技特派员队伍建设管理，引导和鼓励科技人才深入我省农业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生产第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一线，适应我省农村农业实际情况，提供科技服务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和推进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成果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转化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，带动农村经济发展和农民增收致富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支撑实施乡村振兴战略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海南省人民政府办公厅关于深入推行科技特派员制度实施意见》（琼府办〔2017〕16号）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我厅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对《</w:t>
      </w:r>
      <w:r>
        <w:rPr>
          <w:rFonts w:hint="eastAsia" w:ascii="仿宋_GB2312" w:hAnsi="仿宋_GB2312" w:cs="仿宋_GB2312"/>
          <w:color w:val="000000"/>
        </w:rPr>
        <w:t>海南省科技特派员管理</w:t>
      </w:r>
      <w:r>
        <w:rPr>
          <w:rFonts w:hint="eastAsia" w:ascii="仿宋_GB2312" w:hAnsi="仿宋_GB2312" w:cs="仿宋_GB2312"/>
          <w:color w:val="000000"/>
          <w:lang w:eastAsia="zh-CN"/>
        </w:rPr>
        <w:t>暂行</w:t>
      </w:r>
      <w:r>
        <w:rPr>
          <w:rFonts w:hint="eastAsia" w:ascii="仿宋_GB2312" w:hAnsi="仿宋_GB2312" w:cs="仿宋_GB2312"/>
          <w:color w:val="000000"/>
        </w:rPr>
        <w:t>办法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（琼科规〔2019〕2号）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进行修订，形成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了《海南省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科技特派员管理办法》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现予以公布，自20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，原《</w:t>
      </w:r>
      <w:r>
        <w:rPr>
          <w:rFonts w:hint="eastAsia" w:ascii="仿宋_GB2312" w:hAnsi="仿宋_GB2312" w:cs="仿宋_GB2312"/>
        </w:rPr>
        <w:t>海南省科技特派员管理</w:t>
      </w:r>
      <w:r>
        <w:rPr>
          <w:rFonts w:hint="eastAsia" w:ascii="仿宋_GB2312" w:hAnsi="仿宋_GB2312" w:cs="仿宋_GB2312"/>
          <w:lang w:eastAsia="zh-CN"/>
        </w:rPr>
        <w:t>暂行</w:t>
      </w:r>
      <w:r>
        <w:rPr>
          <w:rFonts w:hint="eastAsia" w:ascii="仿宋_GB2312" w:hAnsi="仿宋_GB2312" w:cs="仿宋_GB2312"/>
        </w:rPr>
        <w:t>办法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》到期废止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海南省科学技术厅</w:t>
      </w:r>
    </w:p>
    <w:p>
      <w:pPr>
        <w:adjustRightInd w:val="0"/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40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（此件主动公开）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740" w:lineRule="exac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海南省农业科技特派员管理办法</w:t>
      </w:r>
    </w:p>
    <w:p>
      <w:pPr>
        <w:pStyle w:val="5"/>
        <w:widowControl w:val="0"/>
        <w:shd w:val="clear" w:color="auto" w:fill="FFFFFF"/>
        <w:spacing w:before="0" w:beforeLines="0" w:beforeAutospacing="0" w:after="0" w:afterLines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 w:val="0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总  则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为贯彻落实《国务院办公厅关于深入推行科技特派员制度的实施意见》（国办发〔2016〕32号）、《海南省人民政府办公厅关于深入推行科技特派员制度的实施意见》（琼府办〔2017〕16号）安排部署，进一步加强和规范科技特派员队伍建设管理工作，引导和鼓励科技人才深入我省农业农村第一线，开展科技成果示范，提供产业技术服务，推进乡村振兴战略，特制定本办法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本办法所称农业科技特派员是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按照一定程序从省内高等院校、科研院所、事业单位、行业技术协会以及农业科技型企业、经济合作组织等选派到农村基层第一线开展成果示范、科技服务、科技创业的农业科技人员。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科技特派员选派和考核实行分级动态管理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分为省级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科技特派员和市县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科技特派员。省级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科技特派员由省科技厅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选派和考核，市县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级农业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科技特派员由市县科技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选派和考核。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省科技厅统筹负责省级农业科技特派员管理工作，采用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海南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省科技特派员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登记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管理系统”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农业科技特派员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网上注册申报、核实认定和对接服务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 xml:space="preserve">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选派同一市县的农业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科技特派员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“农业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科技特派员服务团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依托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农业科技110服务站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，针对市县农业产业发展需求，集中统一开展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农业科技成果示范推广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产业技术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服务、培育技术型乡村人才等工作。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="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第二章  选派程序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注册申报。在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省科技厅官网“海南省科技特派员登记管理系统”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申报条件如下：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（一）贯彻执行党的路线方针政策，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身体健康，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有较强的社会责任感和事业心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，具有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带动乡村企业（合作社）创新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带动农户致富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，自愿到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生产一线开展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服务，具有社会责任感；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（二）原则上具有本科以上学历，或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中级（含中级）以上专业技术职称，有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丰富基层科技服务经验；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专业素质强，至少掌握一门以上专业技术且技术优势明显，具有良好的知识传授、信息传播和综合协调能力，能够运用多种手段、途径传播和推广新技术、新成果。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核实认定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申请人登陆省科技厅官网科技特派员登记管理系统填写个人信息、专业特长、联系方式等相关信息，省科技厅对申请人进行批量定期审核，经审核通过即成为海南省科技特派员。对审核通过的申请人颁发省级科技特派员证书，有效期为三年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对接服务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“自愿、互利”和“双向选择、按需选派”原则，由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统一协调、选派，派出单位、服务对象和科技特派员三方签订服务协议。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（一）双向选择。科技特派员与拟服务对象共同协商，达成一致意见后，形成双方服务（合作）协议，分级提交科技特派员管理单位备案。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Lines="0" w:beforeAutospacing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（二）定向选派。科技特派员管理单位根据工作任务、项目实施需要，按有关任务、项目管理程序，定向选派科技特派员与服务对象结对帮扶。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第三章  职责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分工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省级农业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（一）遵守国家法律法规和有关规定，恪守诚实守信，充分发挥自身科技特长和资源优势，开展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科技创新创业服务。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（二）针对服务对象技术需求，开展关键技术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攻关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帮助解决生产技术难题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（三）引进和推广先进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新品种、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实用技术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，与所在乡镇合作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建立科技示范基地，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带动培育农业产业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（四）通过技术入股、资金入股、技术承包或租赁经营等多种形式，创办、领办、协办企业、合作社、协会等，与当地企业和农民建立利益共同体。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（五）根据基层现状、特点以及实际需求，开展科普宣传活动，进行相关技术培训，培养地方技术骨干。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（六）依托农业科技110服务站，组成“农业科技特派员服务团”，统筹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开展农业科技服务活动。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省级农业科技特派员服务团的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职责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（一）开展产业技术服务，提出产业发展规划建议。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（二）调研产业发展情况，形成调研报告，作为科技管理部门编制项目指南的参考依据。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（三）分析当地各类科技需求，重点研究产业重大共性关键技术问题，开展联合攻关。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（四）推广一批先进实用技术和科技成果，以技术入股、资金入股、技术承包或租赁经营等多种形式，与当地企业和农民建立利益共同体。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（五）指导和培训市县级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科技特派员、科技管理人员和技术骨干，提升其综合服务能力。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派出单位负责建立本单位省级农业科技特派员日常管理，结合本单位科技成果示范推广需求，与省科技厅联合支持农业科技特派员开展科技服务活动。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 xml:space="preserve">第十二条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省、市县科技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部门的职责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选派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科技特派员，组建省级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科技特派员服务团，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支持新品种、新技术示范推广项目，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组织开展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科技服务活动，并进行管理和评价；对全省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科技特派员工作开展表彰活动。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napToGrid w:val="0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县级科技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选派市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县级科技特派员，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下派开展科技服务，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组织协调本地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科技特派员和省派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科技特派员（含“三区”选派对象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、挂职科技副乡镇长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）开展科技服务活动，管理和评价本地科技特派员，并协助省科技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部门管理和评价省级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第四章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考核评价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对农业科技特派员工作实行年度考核评价。考核内容主要包括履职情况、服务绩效、创业成果、服务对象满意度等。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评价，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考核评价结果作为连续选派及推荐优秀农业科技特派员的依据。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各市县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科技主管部门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每年12月底前向省科技厅报送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科技特派员服务团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科技特派员总结材料及评价结果。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农业科技特派员实行动态管理，出现下列情况之一的，取消其农业科技特派员资格：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（一）服务期满考核不合格或无故不参加考核；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（二）有违法违纪行为；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（三）存在损害农民利益或严重失信的行为；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（四）不接受管理，长期不参加科技特派员相关活动。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支持措施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第十六条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省级农业科技特派员在选派期间，所在单位的职务、职称、工资、福利待遇等保持不变，服务工作业绩纳入科技人员考核体系，优先作为职称申报、职务聘任的重要依据和加分项。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Lines="0" w:beforeAutospacing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农业科技特派员在服务期间推动科技成果转化收益比例可按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95%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执行。</w:t>
      </w:r>
    </w:p>
    <w:p>
      <w:pPr>
        <w:pStyle w:val="4"/>
        <w:widowControl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第十八条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省科技厅采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农业科技特派员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+科技项目方式，支持农业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科技特派员在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我省乡村振兴重点县和重点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地区开展服务，与服务对象联合申报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农业新品种、新技术示范推广类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科技项目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，项目参照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海南省挂职科技副乡镇长派遣计划项目和经费管理办法》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琼科规〔2022 〕25号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鼓励市县参照设置市县级农业科技特派员专项。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Lines="0" w:beforeAutospacing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第十九条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工作成绩突出、成效显著的省级农业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科技特派员服务团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表彰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和典型事迹宣传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第六章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附则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第二十条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本办法由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海南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厅负责解释。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第二十一条</w:t>
      </w:r>
      <w:bookmarkEnd w:id="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本办法自20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日起实行，有效期至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日。</w:t>
      </w: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4710430</wp:posOffset>
              </wp:positionH>
              <wp:positionV relativeFrom="paragraph">
                <wp:posOffset>30480</wp:posOffset>
              </wp:positionV>
              <wp:extent cx="838835" cy="22796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83883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61" w:rightChars="1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370.9pt;margin-top:2.4pt;height:17.95pt;width:66.05pt;mso-position-horizontal-relative:margin;z-index:251667456;mso-width-relative:page;mso-height-relative:page;" filled="f" stroked="f" coordsize="21600,21600" o:gfxdata="UEsDBAoAAAAAAIdO4kAAAAAAAAAAAAAAAAAEAAAAZHJzL1BLAwQUAAAACACHTuJA1oJlzNcAAAAI&#10;AQAADwAAAGRycy9kb3ducmV2LnhtbE2PwU7DMBBE70j8g7VI3KjtUpE2xKkQCAkOHCj9ADde4kC8&#10;jmK3Df16llM5jUazmnlbrafQiwOOqYtkQM8UCKQmuo5aA9uP55sliJQtOdtHQgM/mGBdX15UtnTx&#10;SO942ORWcAml0hrwOQ+llKnxGGyaxQGJs884BpvZjq10oz1yeejlXKk7GWxHvODtgI8em+/NPhhQ&#10;k371b37+sn0onqz+WoXTqQ3GXF9pdQ8i45TPx/CHz+hQM9Mu7skl0RsoFprRs4EFC+fL4nYFYsde&#10;FSDrSv5/oP4FUEsDBBQAAAAIAIdO4kCvo40UwgEAAHsDAAAOAAAAZHJzL2Uyb0RvYy54bWytU8Fu&#10;EzEQvSP1HyzfidNUbcIqm0ooaouEAKnwAY7XzlqyPZbtZDc/AH/AiQt3vivfwdibTaFceuBijd/M&#10;vpn3xru87a0hexmiBlfTy8mUEukENNpta/rl893rBSUxcddwA07W9CAjvV1dvFp2vpIzaME0MhAk&#10;cbHqfE3blHzFWBSttDxOwEuHSQXB8oTXsGVN4B2yW8Nm0+kN6yA0PoCQMSK6HpL0xBheQghKaSHX&#10;IHZWujSwBml4Qkmx1T7SVZlWKSnSR6WiTMTUFJWmcmITjDf5ZKslr7aB+1aL0wj8JSM802S5dtj0&#10;TLXmiZNd0P9QWS0CRFBpIsCyQUhxBFVcTp9589hyL4sWtDr6s+nx/9GKD/tPgeimpnNKHLe48OP3&#10;b8cfv44/v5J5tqfzscKqR491qX8LPT6aEY8IZtW9CpYoo/1DTmYElRGsRJsPZ5tln4hAcHG1WFxd&#10;UyIwNZvN39xcZz420OSPfYjpXoIlOahpwC0WUr5/H9NQOpbkcgd32piySeP+ApAzIyxrGGbNUeo3&#10;/UnYBpoD6jLvHHqa38cYhDHYjMHOB71tcZyivlDiTsrcp/eTl/7nvTR++md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WgmXM1wAAAAgBAAAPAAAAAAAAAAEAIAAAACIAAABkcnMvZG93bnJldi54&#10;bWxQSwECFAAUAAAACACHTuJAr6ONFMIBAAB7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right="61" w:rightChars="1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4714875</wp:posOffset>
              </wp:positionH>
              <wp:positionV relativeFrom="paragraph">
                <wp:posOffset>-161925</wp:posOffset>
              </wp:positionV>
              <wp:extent cx="929640" cy="331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25pt;margin-top:-12.75pt;height:26.1pt;width:73.2pt;mso-position-horizontal-relative:margin;z-index:251664384;mso-width-relative:page;mso-height-relative:page;" filled="f" stroked="f" coordsize="21600,21600" o:gfxdata="UEsDBAoAAAAAAIdO4kAAAAAAAAAAAAAAAAAEAAAAZHJzL1BLAwQUAAAACACHTuJAR/9lbtoAAAAK&#10;AQAADwAAAGRycy9kb3ducmV2LnhtbE2Py07DMBBF90j9B2sqsWvtRjRNQyYVQrBCQqRhwdKJ3cRq&#10;PA6x++DvMauym9Ec3Tm32F3twM568sYRwmopgGlqnTLUIXzWr4sMmA+SlBwcaYQf7WFXzu4KmSt3&#10;oUqf96FjMYR8LhH6EMacc9/22kq/dKOmeDu4ycoQ16njapKXGG4HngiRcisNxQ+9HPVzr9vj/mQR&#10;nr6oejHf781HdahMXW8FvaVHxPv5SjwCC/oabjD86Ud1KKNT406kPBsQNg/JOqIIi2Qdh0hkWbYF&#10;1iAk6QZ4WfD/FcpfUEsDBBQAAAAIAIdO4kCX9xPpugEAAHEDAAAOAAAAZHJzL2Uyb0RvYy54bWyt&#10;U0Fu2zAQvBfoHwjea9pOkDaC5QCFkaJA0RZI+gCaoiwCJJdY0pb8gfYHPfXSe9/ld3RJy06TXHLo&#10;hVrtrmZnZqnFzeAs22mMBnzNZ5MpZ9oraIzf1Pzb/e2bd5zFJH0jLXhd872O/Gb5+tWiD5WeQwe2&#10;0cgIxMeqDzXvUgqVEFF12sk4gaA9FVtAJxO94kY0KHtCd1bMp9Mr0QM2AUHpGCm7Ohb5iIgvAYS2&#10;NUqvQG2d9umIitrKRJJiZ0Lky8K2bbVKX9o26sRszUlpKicNoXidT7FcyGqDMnRGjRTkSyg80eSk&#10;8TT0DLWSSbItmmdQziiECG2aKHDiKKQ4Qipm0yfe3HUy6KKFrI7hbHr8f7Dq8+4rMtPQTeDMS0cL&#10;P/z8cfj15/D7O5tle/oQK+q6C9SXhvcw5NYxHymZVQ8tuvwkPYzqZO7+bK4eElOUvJ5fX11SRVHp&#10;4mJ2+baYLx4+DhjTBw2O5aDmSLsrlsrdp5hoILWeWvIsD7fG2rI/6x8lqDFnRGZ+ZJijNKyHkfYa&#10;mj2psR89OZlvxSnAU7A+BduAZtMRnaK5QNImCpnx1uRV//teBj/8Kc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/9lbtoAAAAKAQAADwAAAAAAAAABACAAAAAiAAAAZHJzL2Rvd25yZXYueG1sUEsB&#10;AhQAFAAAAAgAh07iQJf3E+m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29845</wp:posOffset>
              </wp:positionV>
              <wp:extent cx="1828800" cy="3016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2.35pt;height:23.75pt;width:144pt;mso-position-horizontal-relative:margin;mso-wrap-style:none;z-index:251666432;mso-width-relative:page;mso-height-relative:page;" filled="f" stroked="f" coordsize="21600,21600" o:gfxdata="UEsDBAoAAAAAAIdO4kAAAAAAAAAAAAAAAAAEAAAAZHJzL1BLAwQUAAAACACHTuJAzRRck9QAAAAG&#10;AQAADwAAAGRycy9kb3ducmV2LnhtbE2OwU7DMBBE70j9B2srcaN2IkJLiNMDgiOV2nLh5sTbJG28&#10;jmKnDX/PcoLjaEZvXrGdXS+uOIbOk4ZkpUAg1d521Gj4PL4/bECEaMia3hNq+MYA23JxV5jc+hvt&#10;8XqIjWAIhdxoaGMccilD3aIzYeUHJO5OfnQmchwbaUdzY7jrZarUk3SmI35ozYCvLdaXw+Q0nD52&#10;l/PbtFfnRm3wKxlxrpKd1vfLRL2AiDjHvzH86rM6lOxU+YlsEL2GdcZDDY9rENymzxnnSkOWpiDL&#10;Qv7XL38AUEsDBBQAAAAIAIdO4kCa02eRwQEAAH4DAAAOAAAAZHJzL2Uyb0RvYy54bWytU82O0zAQ&#10;viPxDpbv1GkrVlXUdKVVtSskBEgLD+A6dmPJfxq7TfoC8AacuHDnufocjJ2mC8tlD1yc8cz4m/m+&#10;maxvB2vIUULU3jV0PqsokU74Vrt9Q798vn+zoiQm7lpuvJMNPclIbzevX637UMuF77xpJRAEcbHu&#10;Q0O7lELNWBSdtDzOfJAOg8qD5QmvsGct8B7RrWGLqrphvYc2gBcyRvRuxyC9IMJLAL1SWsitFwcr&#10;XRpRQRqekFLsdIh0U7pVSor0UakoEzENRaapnFgE7V0+2WbN6z3w0GlxaYG/pIVnnCzXDoteobY8&#10;cXIA/Q+U1QJ89CrNhLdsJFIUQRbz6pk2jx0PsnBBqWO4ih7/H6z4cPwERLcNXVLiuMWBn79/O//4&#10;df75lSyzPH2INWY9BsxLw50fcGkmf0RnZj0osPmLfAjGUdzTVVw5JCLyo9VitaowJDC2rOY3i7cZ&#10;hj29DhDTg/SWZKOhgMMrmvLj+5jG1CklF3P+XhtTBmjcXw7EzB6WWx9bzFYadsOFz863J6TT49wb&#10;6nDNKTHvHMqaV2QyYDJ2k3EIoPcdtlYEKPA4lsLhskJ57n/eSxNPv83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0UXJPUAAAABgEAAA8AAAAAAAAAAQAgAAAAIgAAAGRycy9kb3ducmV2LnhtbFBL&#10;AQIUABQAAAAIAIdO4kCa02eRwQEAAH4DAAAOAAAAAAAAAAEAIAAAACM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TExNzRkNjE2NDNmZmY5YTU0ZTBjNGM5OGMxYzUifQ=="/>
  </w:docVars>
  <w:rsids>
    <w:rsidRoot w:val="324E3796"/>
    <w:rsid w:val="324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2023-01-30T06:49:00Z</dcterms:created>
  <dc:creator>尤他</dc:creator>
  <cp:lastModifiedBy>尤他</cp:lastModifiedBy>
  <dcterms:modified xsi:type="dcterms:W3CDTF">2023-01-30T06:53:03Z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F7BCB80AC5D9413FB4A3542A522784C7</vt:lpwstr>
  </property>
</Properties>
</file>